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853"/>
        <w:gridCol w:w="4854"/>
      </w:tblGrid>
      <w:tr w:rsidR="00206453" w14:paraId="15813BBE" w14:textId="77777777" w:rsidTr="00206453">
        <w:tc>
          <w:tcPr>
            <w:tcW w:w="4853" w:type="dxa"/>
          </w:tcPr>
          <w:p w14:paraId="7510A925" w14:textId="77777777" w:rsidR="00206453" w:rsidRDefault="00206453" w:rsidP="00A3347B">
            <w:pPr>
              <w:spacing w:line="300" w:lineRule="auto"/>
              <w:jc w:val="center"/>
              <w:rPr>
                <w:rFonts w:ascii="新細明體" w:hAnsi="新細明體"/>
                <w:color w:val="000000" w:themeColor="text1"/>
                <w:spacing w:val="24"/>
              </w:rPr>
            </w:pPr>
          </w:p>
        </w:tc>
        <w:tc>
          <w:tcPr>
            <w:tcW w:w="4853" w:type="dxa"/>
          </w:tcPr>
          <w:p w14:paraId="1B35D3A6" w14:textId="77777777" w:rsidR="00206453" w:rsidRDefault="00206453" w:rsidP="00A3347B">
            <w:pPr>
              <w:spacing w:line="300" w:lineRule="auto"/>
              <w:jc w:val="center"/>
              <w:rPr>
                <w:rFonts w:ascii="新細明體" w:hAnsi="新細明體"/>
                <w:color w:val="000000" w:themeColor="text1"/>
                <w:spacing w:val="24"/>
              </w:rPr>
            </w:pPr>
            <w:r w:rsidRPr="00367148">
              <w:rPr>
                <w:rFonts w:hint="eastAsia"/>
                <w:color w:val="000000" w:themeColor="text1"/>
                <w:spacing w:val="24"/>
                <w:u w:val="single"/>
              </w:rPr>
              <w:t xml:space="preserve">　　　　　　</w:t>
            </w:r>
            <w:bookmarkStart w:id="0" w:name="Std_Type2"/>
            <w:r w:rsidRPr="00367148">
              <w:rPr>
                <w:rFonts w:hint="eastAsia"/>
                <w:color w:val="000000" w:themeColor="text1"/>
                <w:spacing w:val="24"/>
                <w:u w:val="single"/>
              </w:rPr>
              <w:t>證券</w:t>
            </w:r>
            <w:bookmarkEnd w:id="0"/>
            <w:r w:rsidRPr="00367148">
              <w:rPr>
                <w:rFonts w:hint="eastAsia"/>
                <w:color w:val="000000" w:themeColor="text1"/>
                <w:spacing w:val="24"/>
                <w:u w:val="single"/>
              </w:rPr>
              <w:t>股份有限公司</w:t>
            </w:r>
          </w:p>
        </w:tc>
        <w:tc>
          <w:tcPr>
            <w:tcW w:w="4854" w:type="dxa"/>
          </w:tcPr>
          <w:p w14:paraId="7B054DA9" w14:textId="77777777" w:rsidR="00206453" w:rsidRDefault="00206453" w:rsidP="00A3347B">
            <w:pPr>
              <w:spacing w:line="300" w:lineRule="auto"/>
              <w:jc w:val="center"/>
              <w:rPr>
                <w:rFonts w:ascii="新細明體" w:hAnsi="新細明體"/>
                <w:color w:val="000000" w:themeColor="text1"/>
                <w:spacing w:val="24"/>
              </w:rPr>
            </w:pPr>
          </w:p>
        </w:tc>
      </w:tr>
      <w:tr w:rsidR="00206453" w14:paraId="1F90BCFE" w14:textId="77777777" w:rsidTr="00206453">
        <w:tc>
          <w:tcPr>
            <w:tcW w:w="4853" w:type="dxa"/>
          </w:tcPr>
          <w:p w14:paraId="19DD9881" w14:textId="77777777" w:rsidR="00206453" w:rsidRDefault="00206453" w:rsidP="00A3347B">
            <w:pPr>
              <w:spacing w:line="300" w:lineRule="auto"/>
              <w:jc w:val="center"/>
              <w:rPr>
                <w:rFonts w:ascii="新細明體" w:hAnsi="新細明體"/>
                <w:color w:val="000000" w:themeColor="text1"/>
                <w:spacing w:val="24"/>
              </w:rPr>
            </w:pPr>
          </w:p>
        </w:tc>
        <w:tc>
          <w:tcPr>
            <w:tcW w:w="4853" w:type="dxa"/>
          </w:tcPr>
          <w:p w14:paraId="65305458" w14:textId="77777777" w:rsidR="00206453" w:rsidRPr="00206453" w:rsidRDefault="00206453" w:rsidP="00206453">
            <w:pPr>
              <w:spacing w:line="400" w:lineRule="exact"/>
              <w:jc w:val="center"/>
              <w:rPr>
                <w:rFonts w:ascii="新細明體" w:hAnsi="新細明體"/>
                <w:color w:val="000000" w:themeColor="text1"/>
                <w:spacing w:val="24"/>
                <w:u w:val="single"/>
              </w:rPr>
            </w:pPr>
            <w:r>
              <w:rPr>
                <w:rFonts w:ascii="新細明體" w:hAnsi="新細明體" w:hint="eastAsia"/>
                <w:color w:val="000000" w:themeColor="text1"/>
              </w:rPr>
              <w:t xml:space="preserve">業務及收入循環：其他 </w:t>
            </w:r>
          </w:p>
        </w:tc>
        <w:tc>
          <w:tcPr>
            <w:tcW w:w="4854" w:type="dxa"/>
          </w:tcPr>
          <w:p w14:paraId="0A2098C0" w14:textId="77777777" w:rsidR="00206453" w:rsidRDefault="00206453" w:rsidP="00A3347B">
            <w:pPr>
              <w:spacing w:line="300" w:lineRule="auto"/>
              <w:jc w:val="center"/>
              <w:rPr>
                <w:rFonts w:ascii="新細明體" w:hAnsi="新細明體"/>
                <w:color w:val="000000" w:themeColor="text1"/>
                <w:spacing w:val="24"/>
              </w:rPr>
            </w:pPr>
          </w:p>
        </w:tc>
      </w:tr>
      <w:tr w:rsidR="00206453" w14:paraId="61A76A0E" w14:textId="77777777" w:rsidTr="00206453">
        <w:tc>
          <w:tcPr>
            <w:tcW w:w="4853" w:type="dxa"/>
          </w:tcPr>
          <w:p w14:paraId="0EAF1B71" w14:textId="77777777" w:rsidR="00206453" w:rsidRDefault="00206453" w:rsidP="00206453">
            <w:pPr>
              <w:spacing w:line="300" w:lineRule="auto"/>
              <w:rPr>
                <w:rFonts w:ascii="新細明體" w:hAnsi="新細明體"/>
                <w:color w:val="000000" w:themeColor="text1"/>
                <w:spacing w:val="24"/>
              </w:rPr>
            </w:pPr>
            <w:r>
              <w:rPr>
                <w:rFonts w:ascii="新細明體" w:hAnsi="新細明體" w:hint="eastAsia"/>
                <w:color w:val="000000" w:themeColor="text1"/>
                <w:spacing w:val="24"/>
              </w:rPr>
              <w:t>作業週期：（每週至少查核乙次）</w:t>
            </w:r>
          </w:p>
        </w:tc>
        <w:tc>
          <w:tcPr>
            <w:tcW w:w="4853" w:type="dxa"/>
          </w:tcPr>
          <w:p w14:paraId="6EBC763F" w14:textId="77777777" w:rsidR="00206453" w:rsidRDefault="00206453" w:rsidP="00A3347B">
            <w:pPr>
              <w:spacing w:line="300" w:lineRule="auto"/>
              <w:jc w:val="center"/>
              <w:rPr>
                <w:rFonts w:ascii="新細明體" w:hAnsi="新細明體"/>
                <w:color w:val="000000" w:themeColor="text1"/>
                <w:spacing w:val="24"/>
              </w:rPr>
            </w:pPr>
            <w:r w:rsidRPr="00367148">
              <w:rPr>
                <w:rFonts w:hint="eastAsia"/>
                <w:color w:val="000000" w:themeColor="text1"/>
                <w:spacing w:val="60"/>
                <w:u w:val="single"/>
              </w:rPr>
              <w:t>財富管理業務查核明細表</w:t>
            </w:r>
          </w:p>
        </w:tc>
        <w:tc>
          <w:tcPr>
            <w:tcW w:w="4854" w:type="dxa"/>
          </w:tcPr>
          <w:p w14:paraId="4F113191" w14:textId="77777777" w:rsidR="00206453" w:rsidRDefault="00206453" w:rsidP="00A3347B">
            <w:pPr>
              <w:spacing w:line="300" w:lineRule="auto"/>
              <w:jc w:val="center"/>
              <w:rPr>
                <w:rFonts w:ascii="新細明體" w:hAnsi="新細明體"/>
                <w:color w:val="000000" w:themeColor="text1"/>
                <w:spacing w:val="24"/>
              </w:rPr>
            </w:pPr>
          </w:p>
        </w:tc>
      </w:tr>
    </w:tbl>
    <w:tbl>
      <w:tblPr>
        <w:tblW w:w="150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85"/>
        <w:gridCol w:w="9383"/>
        <w:gridCol w:w="851"/>
        <w:gridCol w:w="850"/>
        <w:gridCol w:w="709"/>
        <w:gridCol w:w="1276"/>
      </w:tblGrid>
      <w:tr w:rsidR="00367148" w:rsidRPr="00367148" w14:paraId="6084B005" w14:textId="77777777" w:rsidTr="00B77A59">
        <w:trPr>
          <w:cantSplit/>
          <w:trHeight w:hRule="exact" w:val="522"/>
          <w:tblHeader/>
        </w:trPr>
        <w:tc>
          <w:tcPr>
            <w:tcW w:w="1985" w:type="dxa"/>
            <w:vMerge w:val="restart"/>
            <w:tcBorders>
              <w:top w:val="single" w:sz="12" w:space="0" w:color="auto"/>
              <w:left w:val="single" w:sz="12" w:space="0" w:color="auto"/>
            </w:tcBorders>
            <w:vAlign w:val="center"/>
          </w:tcPr>
          <w:p w14:paraId="6E9C87E1" w14:textId="77777777" w:rsidR="00A1667A" w:rsidRPr="00367148" w:rsidRDefault="00A1667A" w:rsidP="00647C22">
            <w:pPr>
              <w:spacing w:line="320" w:lineRule="atLeast"/>
              <w:jc w:val="center"/>
              <w:rPr>
                <w:rFonts w:ascii="新細明體" w:hAnsi="新細明體"/>
                <w:color w:val="000000" w:themeColor="text1"/>
              </w:rPr>
            </w:pPr>
            <w:r w:rsidRPr="00367148">
              <w:rPr>
                <w:rFonts w:ascii="新細明體" w:hAnsi="新細明體" w:hint="eastAsia"/>
                <w:color w:val="000000" w:themeColor="text1"/>
              </w:rPr>
              <w:t>項</w:t>
            </w:r>
            <w:r w:rsidRPr="00367148">
              <w:rPr>
                <w:rFonts w:ascii="新細明體" w:hAnsi="新細明體"/>
                <w:color w:val="000000" w:themeColor="text1"/>
              </w:rPr>
              <w:t xml:space="preserve">     </w:t>
            </w:r>
            <w:r w:rsidRPr="00367148">
              <w:rPr>
                <w:rFonts w:ascii="新細明體" w:hAnsi="新細明體" w:hint="eastAsia"/>
                <w:color w:val="000000" w:themeColor="text1"/>
              </w:rPr>
              <w:t>目</w:t>
            </w:r>
          </w:p>
        </w:tc>
        <w:tc>
          <w:tcPr>
            <w:tcW w:w="9383" w:type="dxa"/>
            <w:vMerge w:val="restart"/>
            <w:tcBorders>
              <w:top w:val="single" w:sz="12" w:space="0" w:color="auto"/>
            </w:tcBorders>
            <w:vAlign w:val="center"/>
          </w:tcPr>
          <w:p w14:paraId="0615B90E" w14:textId="77777777" w:rsidR="00A1667A" w:rsidRPr="00367148" w:rsidRDefault="00A1667A" w:rsidP="00647C22">
            <w:pPr>
              <w:spacing w:line="320" w:lineRule="atLeast"/>
              <w:jc w:val="center"/>
              <w:rPr>
                <w:rFonts w:ascii="新細明體" w:hAnsi="新細明體"/>
                <w:color w:val="000000" w:themeColor="text1"/>
              </w:rPr>
            </w:pPr>
            <w:r w:rsidRPr="00367148">
              <w:rPr>
                <w:rFonts w:ascii="新細明體" w:hAnsi="新細明體" w:hint="eastAsia"/>
                <w:color w:val="000000" w:themeColor="text1"/>
              </w:rPr>
              <w:t>查</w:t>
            </w:r>
            <w:r w:rsidRPr="00367148">
              <w:rPr>
                <w:rFonts w:ascii="新細明體" w:hAnsi="新細明體"/>
                <w:color w:val="000000" w:themeColor="text1"/>
              </w:rPr>
              <w:t xml:space="preserve">          </w:t>
            </w:r>
            <w:r w:rsidRPr="00367148">
              <w:rPr>
                <w:rFonts w:ascii="新細明體" w:hAnsi="新細明體" w:hint="eastAsia"/>
                <w:color w:val="000000" w:themeColor="text1"/>
              </w:rPr>
              <w:t>核</w:t>
            </w:r>
            <w:r w:rsidRPr="00367148">
              <w:rPr>
                <w:rFonts w:ascii="新細明體" w:hAnsi="新細明體"/>
                <w:color w:val="000000" w:themeColor="text1"/>
              </w:rPr>
              <w:t xml:space="preserve">          </w:t>
            </w:r>
            <w:r w:rsidRPr="00367148">
              <w:rPr>
                <w:rFonts w:ascii="新細明體" w:hAnsi="新細明體" w:hint="eastAsia"/>
                <w:color w:val="000000" w:themeColor="text1"/>
              </w:rPr>
              <w:t>程</w:t>
            </w:r>
            <w:r w:rsidRPr="00367148">
              <w:rPr>
                <w:rFonts w:ascii="新細明體" w:hAnsi="新細明體"/>
                <w:color w:val="000000" w:themeColor="text1"/>
              </w:rPr>
              <w:t xml:space="preserve">          </w:t>
            </w:r>
            <w:r w:rsidRPr="00367148">
              <w:rPr>
                <w:rFonts w:ascii="新細明體" w:hAnsi="新細明體" w:hint="eastAsia"/>
                <w:color w:val="000000" w:themeColor="text1"/>
              </w:rPr>
              <w:t>序</w:t>
            </w:r>
          </w:p>
        </w:tc>
        <w:tc>
          <w:tcPr>
            <w:tcW w:w="2410" w:type="dxa"/>
            <w:gridSpan w:val="3"/>
            <w:tcBorders>
              <w:top w:val="single" w:sz="12" w:space="0" w:color="auto"/>
            </w:tcBorders>
            <w:vAlign w:val="center"/>
          </w:tcPr>
          <w:p w14:paraId="0A68FA5F" w14:textId="77777777" w:rsidR="00A1667A" w:rsidRPr="00367148" w:rsidRDefault="00A1667A" w:rsidP="008600C2">
            <w:pPr>
              <w:spacing w:line="280" w:lineRule="exact"/>
              <w:jc w:val="center"/>
              <w:rPr>
                <w:rFonts w:ascii="新細明體" w:hAnsi="新細明體"/>
                <w:color w:val="000000" w:themeColor="text1"/>
                <w:spacing w:val="60"/>
                <w:sz w:val="18"/>
                <w:szCs w:val="18"/>
              </w:rPr>
            </w:pPr>
            <w:r w:rsidRPr="00367148">
              <w:rPr>
                <w:rFonts w:ascii="新細明體" w:hAnsi="新細明體" w:hint="eastAsia"/>
                <w:color w:val="000000" w:themeColor="text1"/>
                <w:spacing w:val="60"/>
                <w:sz w:val="18"/>
                <w:szCs w:val="18"/>
              </w:rPr>
              <w:t>查核結果</w:t>
            </w:r>
          </w:p>
        </w:tc>
        <w:tc>
          <w:tcPr>
            <w:tcW w:w="1276" w:type="dxa"/>
            <w:vMerge w:val="restart"/>
            <w:tcBorders>
              <w:top w:val="single" w:sz="12" w:space="0" w:color="auto"/>
              <w:right w:val="single" w:sz="12" w:space="0" w:color="auto"/>
            </w:tcBorders>
            <w:vAlign w:val="center"/>
          </w:tcPr>
          <w:p w14:paraId="7859CF66" w14:textId="77777777" w:rsidR="007A0E65" w:rsidRPr="00367148" w:rsidRDefault="00A1667A" w:rsidP="005E3DFF">
            <w:pPr>
              <w:spacing w:line="320" w:lineRule="atLeast"/>
              <w:jc w:val="center"/>
              <w:rPr>
                <w:rFonts w:ascii="新細明體" w:hAnsi="新細明體"/>
                <w:color w:val="000000" w:themeColor="text1"/>
                <w:spacing w:val="60"/>
              </w:rPr>
            </w:pPr>
            <w:r w:rsidRPr="00367148">
              <w:rPr>
                <w:rFonts w:ascii="新細明體" w:hAnsi="新細明體" w:hint="eastAsia"/>
                <w:color w:val="000000" w:themeColor="text1"/>
                <w:spacing w:val="60"/>
              </w:rPr>
              <w:t>底稿</w:t>
            </w:r>
          </w:p>
          <w:p w14:paraId="2876616F" w14:textId="77777777" w:rsidR="00A1667A" w:rsidRPr="00367148" w:rsidRDefault="00A1667A" w:rsidP="005E3DFF">
            <w:pPr>
              <w:spacing w:line="320" w:lineRule="atLeast"/>
              <w:jc w:val="center"/>
              <w:rPr>
                <w:rFonts w:ascii="新細明體" w:hAnsi="新細明體"/>
                <w:color w:val="000000" w:themeColor="text1"/>
              </w:rPr>
            </w:pPr>
            <w:r w:rsidRPr="00367148">
              <w:rPr>
                <w:rFonts w:ascii="新細明體" w:hAnsi="新細明體" w:hint="eastAsia"/>
                <w:color w:val="000000" w:themeColor="text1"/>
                <w:spacing w:val="60"/>
              </w:rPr>
              <w:t>索引</w:t>
            </w:r>
          </w:p>
        </w:tc>
      </w:tr>
      <w:tr w:rsidR="00367148" w:rsidRPr="00367148" w14:paraId="31C55520" w14:textId="77777777" w:rsidTr="00B77A59">
        <w:trPr>
          <w:cantSplit/>
          <w:trHeight w:hRule="exact" w:val="402"/>
          <w:tblHeader/>
        </w:trPr>
        <w:tc>
          <w:tcPr>
            <w:tcW w:w="1985" w:type="dxa"/>
            <w:vMerge/>
            <w:tcBorders>
              <w:left w:val="single" w:sz="12" w:space="0" w:color="auto"/>
            </w:tcBorders>
          </w:tcPr>
          <w:p w14:paraId="5D61A1B5" w14:textId="77777777" w:rsidR="00A1667A" w:rsidRPr="00367148" w:rsidRDefault="00A1667A" w:rsidP="00647C22">
            <w:pPr>
              <w:rPr>
                <w:rFonts w:ascii="新細明體" w:hAnsi="新細明體"/>
                <w:color w:val="000000" w:themeColor="text1"/>
              </w:rPr>
            </w:pPr>
          </w:p>
        </w:tc>
        <w:tc>
          <w:tcPr>
            <w:tcW w:w="9383" w:type="dxa"/>
            <w:vMerge/>
          </w:tcPr>
          <w:p w14:paraId="05857A32" w14:textId="77777777" w:rsidR="00A1667A" w:rsidRPr="00367148" w:rsidRDefault="00A1667A" w:rsidP="00647C22">
            <w:pPr>
              <w:rPr>
                <w:rFonts w:ascii="新細明體" w:hAnsi="新細明體"/>
                <w:color w:val="000000" w:themeColor="text1"/>
              </w:rPr>
            </w:pPr>
          </w:p>
        </w:tc>
        <w:tc>
          <w:tcPr>
            <w:tcW w:w="851" w:type="dxa"/>
          </w:tcPr>
          <w:p w14:paraId="6CAD70AE"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是</w:t>
            </w:r>
          </w:p>
        </w:tc>
        <w:tc>
          <w:tcPr>
            <w:tcW w:w="850" w:type="dxa"/>
          </w:tcPr>
          <w:p w14:paraId="54C8BCF8"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否</w:t>
            </w:r>
          </w:p>
        </w:tc>
        <w:tc>
          <w:tcPr>
            <w:tcW w:w="709" w:type="dxa"/>
          </w:tcPr>
          <w:p w14:paraId="34065661"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不適用</w:t>
            </w:r>
          </w:p>
        </w:tc>
        <w:tc>
          <w:tcPr>
            <w:tcW w:w="1276" w:type="dxa"/>
            <w:vMerge/>
            <w:tcBorders>
              <w:right w:val="single" w:sz="12" w:space="0" w:color="auto"/>
            </w:tcBorders>
          </w:tcPr>
          <w:p w14:paraId="722C8A5F" w14:textId="77777777" w:rsidR="00A1667A" w:rsidRPr="00367148" w:rsidRDefault="00A1667A" w:rsidP="00647C22">
            <w:pPr>
              <w:rPr>
                <w:rFonts w:ascii="新細明體" w:hAnsi="新細明體"/>
                <w:color w:val="000000" w:themeColor="text1"/>
              </w:rPr>
            </w:pPr>
          </w:p>
        </w:tc>
      </w:tr>
      <w:tr w:rsidR="00367148" w:rsidRPr="00367148" w14:paraId="0F562721" w14:textId="77777777" w:rsidTr="00260A68">
        <w:trPr>
          <w:trHeight w:val="489"/>
        </w:trPr>
        <w:tc>
          <w:tcPr>
            <w:tcW w:w="1985" w:type="dxa"/>
            <w:tcBorders>
              <w:left w:val="single" w:sz="12" w:space="0" w:color="auto"/>
            </w:tcBorders>
          </w:tcPr>
          <w:p w14:paraId="7A5F74C7" w14:textId="77777777" w:rsidR="00A1667A" w:rsidRPr="00367148" w:rsidRDefault="00B77A59" w:rsidP="00A76D09">
            <w:pPr>
              <w:spacing w:line="420" w:lineRule="exact"/>
              <w:jc w:val="both"/>
              <w:rPr>
                <w:rFonts w:ascii="新細明體" w:hAnsi="新細明體"/>
                <w:color w:val="000000" w:themeColor="text1"/>
              </w:rPr>
            </w:pPr>
            <w:r>
              <w:rPr>
                <w:rFonts w:ascii="新細明體" w:hAnsi="新細明體" w:hint="eastAsia"/>
                <w:color w:val="000000" w:themeColor="text1"/>
                <w:spacing w:val="12"/>
              </w:rPr>
              <w:t>(FA-19140-W)</w:t>
            </w:r>
          </w:p>
          <w:p w14:paraId="3B0FF36D" w14:textId="77777777" w:rsidR="00A1667A" w:rsidRPr="00367148" w:rsidRDefault="00B77A59" w:rsidP="00A76D09">
            <w:pPr>
              <w:spacing w:line="420" w:lineRule="exact"/>
              <w:jc w:val="both"/>
              <w:rPr>
                <w:rFonts w:ascii="新細明體" w:hAnsi="新細明體"/>
                <w:color w:val="000000" w:themeColor="text1"/>
              </w:rPr>
            </w:pPr>
            <w:r>
              <w:rPr>
                <w:rFonts w:ascii="新細明體" w:hAnsi="新細明體" w:hint="eastAsia"/>
                <w:color w:val="000000" w:themeColor="text1"/>
                <w:spacing w:val="12"/>
              </w:rPr>
              <w:t>財富管理業務：以信託方式辦理財富管理業務</w:t>
            </w:r>
          </w:p>
        </w:tc>
        <w:tc>
          <w:tcPr>
            <w:tcW w:w="9383" w:type="dxa"/>
          </w:tcPr>
          <w:p w14:paraId="6DFA5D42" w14:textId="77777777" w:rsidR="00252D83" w:rsidRDefault="002E27D1">
            <w:pPr>
              <w:ind w:left="449" w:hangingChars="187" w:hanging="449"/>
            </w:pPr>
            <w:r>
              <w:t>一、開戶徵信</w:t>
            </w:r>
          </w:p>
          <w:p w14:paraId="38D8A3D0" w14:textId="77777777" w:rsidR="00252D83" w:rsidRDefault="002E27D1">
            <w:pPr>
              <w:ind w:leftChars="99" w:left="639" w:hangingChars="167" w:hanging="401"/>
            </w:pPr>
            <w:r>
              <w:t>(</w:t>
            </w:r>
            <w:r>
              <w:t>一</w:t>
            </w:r>
            <w:r>
              <w:t>)</w:t>
            </w:r>
            <w:r>
              <w:t>公司是否訂定</w:t>
            </w:r>
            <w:r>
              <w:rPr>
                <w:strike/>
                <w:color w:val="FF0000"/>
              </w:rPr>
              <w:t>高淨值客戶之條件及</w:t>
            </w:r>
            <w:r>
              <w:t>瞭解客戶評估作業程序，並依規定辦理客戶之接受與開戶、客戶投資能力之評估、客戶評估資料之更新及客戶資料與能力評估之驗證。</w:t>
            </w:r>
          </w:p>
          <w:p w14:paraId="6A113FB2" w14:textId="77777777" w:rsidR="00252D83" w:rsidRDefault="002E27D1">
            <w:pPr>
              <w:ind w:leftChars="99" w:left="639" w:hangingChars="167" w:hanging="401"/>
            </w:pPr>
            <w:r>
              <w:t>(</w:t>
            </w:r>
            <w:r>
              <w:t>二</w:t>
            </w:r>
            <w:r>
              <w:t>)</w:t>
            </w:r>
            <w:r>
              <w:t>公司是否訂定專業投資人認定程序之作業流程，將客戶區分為專業投資人及非專業投資人。專業投資人應符合之資格條件，公司是否盡合理調查之責任，並向客戶取得合理可信之佐證依據。</w:t>
            </w:r>
          </w:p>
          <w:p w14:paraId="32C58767" w14:textId="77777777" w:rsidR="00252D83" w:rsidRDefault="002E27D1">
            <w:pPr>
              <w:ind w:leftChars="99" w:left="639" w:hangingChars="167" w:hanging="401"/>
            </w:pPr>
            <w:r>
              <w:t>(</w:t>
            </w:r>
            <w:r>
              <w:t>三</w:t>
            </w:r>
            <w:r>
              <w:t>)</w:t>
            </w:r>
            <w:r>
              <w:t>公司是否與客戶簽訂以信託方式辦理財富管理之契約書，且契約書</w:t>
            </w:r>
            <w:r>
              <w:t>(</w:t>
            </w:r>
            <w:r>
              <w:t>含開戶總契約書、個別信託契約暨附件</w:t>
            </w:r>
            <w:r>
              <w:t>)</w:t>
            </w:r>
            <w:r>
              <w:t>內容符合相關規定。</w:t>
            </w:r>
          </w:p>
          <w:p w14:paraId="5EE837EF" w14:textId="77777777" w:rsidR="00252D83" w:rsidRDefault="002E27D1">
            <w:pPr>
              <w:ind w:leftChars="99" w:left="639" w:hangingChars="167" w:hanging="401"/>
            </w:pPr>
            <w:r>
              <w:t>(</w:t>
            </w:r>
            <w:r>
              <w:t>四</w:t>
            </w:r>
            <w:r>
              <w:t>)</w:t>
            </w:r>
            <w:r>
              <w:t>公司接受客戶要求派財富管理業務人員至客戶所在地，辦理財富管理開戶之前置作業，是否依相關規定辦理。</w:t>
            </w:r>
          </w:p>
          <w:p w14:paraId="0DB6AA89" w14:textId="3B024DA2" w:rsidR="00252D83" w:rsidRDefault="002E27D1">
            <w:pPr>
              <w:ind w:leftChars="99" w:left="639" w:hangingChars="167" w:hanging="401"/>
            </w:pPr>
            <w:r>
              <w:t>(</w:t>
            </w:r>
            <w:r>
              <w:t>五</w:t>
            </w:r>
            <w:r>
              <w:t>)</w:t>
            </w:r>
            <w:r>
              <w:t>公司由總</w:t>
            </w:r>
            <w:r>
              <w:rPr>
                <w:color w:val="FF0000"/>
                <w:u w:val="single"/>
              </w:rPr>
              <w:t>公司</w:t>
            </w:r>
            <w:r>
              <w:t>、</w:t>
            </w:r>
            <w:r>
              <w:rPr>
                <w:color w:val="FF0000"/>
                <w:u w:val="single"/>
              </w:rPr>
              <w:t>分支機構或簡易</w:t>
            </w:r>
            <w:r>
              <w:t>分</w:t>
            </w:r>
            <w:r w:rsidRPr="002E27D1">
              <w:rPr>
                <w:color w:val="FF0000"/>
                <w:u w:val="single"/>
              </w:rPr>
              <w:t>支機構</w:t>
            </w:r>
            <w:r>
              <w:t>登錄開戶經辦人員跨營業據點辦理開戶之前置作業時，是否依主管機關</w:t>
            </w:r>
            <w:r>
              <w:t>107</w:t>
            </w:r>
            <w:r>
              <w:t>年</w:t>
            </w:r>
            <w:r>
              <w:t>7</w:t>
            </w:r>
            <w:r>
              <w:t>月</w:t>
            </w:r>
            <w:r>
              <w:t>2</w:t>
            </w:r>
            <w:r>
              <w:t>日金管證券字第</w:t>
            </w:r>
            <w:r>
              <w:t>1070320131</w:t>
            </w:r>
            <w:r>
              <w:t>號函及券商公會</w:t>
            </w:r>
            <w:r>
              <w:t>107</w:t>
            </w:r>
            <w:r>
              <w:t>年</w:t>
            </w:r>
            <w:r>
              <w:t>7</w:t>
            </w:r>
            <w:r>
              <w:t>月</w:t>
            </w:r>
            <w:r>
              <w:t>4</w:t>
            </w:r>
            <w:r>
              <w:t>日中證商企字第</w:t>
            </w:r>
            <w:r>
              <w:t>1070003548</w:t>
            </w:r>
            <w:r>
              <w:t>號函辦理。</w:t>
            </w:r>
          </w:p>
          <w:p w14:paraId="33B91406" w14:textId="77777777" w:rsidR="00252D83" w:rsidRDefault="002E27D1">
            <w:pPr>
              <w:ind w:leftChars="99" w:left="639" w:hangingChars="167" w:hanging="401"/>
            </w:pPr>
            <w:r>
              <w:t>(</w:t>
            </w:r>
            <w:r>
              <w:t>六</w:t>
            </w:r>
            <w:r>
              <w:t>)</w:t>
            </w:r>
            <w:r>
              <w:t>與委託人訂定信託契約前是否依相關規定辦理下列事項：</w:t>
            </w:r>
          </w:p>
          <w:p w14:paraId="5E42043E" w14:textId="77777777" w:rsidR="00252D83" w:rsidRDefault="002E27D1">
            <w:pPr>
              <w:ind w:leftChars="280" w:left="948" w:hangingChars="115" w:hanging="276"/>
            </w:pPr>
            <w:r>
              <w:t>1.</w:t>
            </w:r>
            <w:r>
              <w:t>確保提供商品或服務適合委託人</w:t>
            </w:r>
          </w:p>
          <w:p w14:paraId="25A9A51A" w14:textId="77777777" w:rsidR="00252D83" w:rsidRDefault="002E27D1">
            <w:pPr>
              <w:ind w:leftChars="460" w:left="1104"/>
            </w:pPr>
            <w:r>
              <w:t>是否依「金融消費者保護法」第</w:t>
            </w:r>
            <w:r>
              <w:t>9</w:t>
            </w:r>
            <w:r>
              <w:t>條、「金融服務業確保金融商品或服務適合金融消費者辦法」、「信託業營運範圍受益權轉讓限制風險揭露及行銷訂約管理辦法」第</w:t>
            </w:r>
            <w:r>
              <w:t>22</w:t>
            </w:r>
            <w:r>
              <w:t>條及「信託業建立非專業投資人商品適合度規章應遵循事項」等相關規定充分瞭解委託人之相關資料，以確保該商品或服務對委託人之適合度。</w:t>
            </w:r>
          </w:p>
          <w:p w14:paraId="782FA378" w14:textId="77777777" w:rsidR="00252D83" w:rsidRDefault="002E27D1">
            <w:pPr>
              <w:ind w:leftChars="280" w:left="948" w:hangingChars="115" w:hanging="276"/>
            </w:pPr>
            <w:r>
              <w:t>2.</w:t>
            </w:r>
            <w:r>
              <w:t>說明契約重要內容及揭露風險</w:t>
            </w:r>
          </w:p>
          <w:p w14:paraId="569F284E" w14:textId="77777777" w:rsidR="00252D83" w:rsidRDefault="002E27D1">
            <w:pPr>
              <w:ind w:leftChars="460" w:left="1104"/>
            </w:pPr>
            <w:r>
              <w:lastRenderedPageBreak/>
              <w:t>是否依「金融消費者保護法」第</w:t>
            </w:r>
            <w:r>
              <w:t>10</w:t>
            </w:r>
            <w:r>
              <w:t>條、「金融服務業提供金融商品或服務前說明契約重要內容及揭露風險辦法」、「信託業營運範圍受益權轉讓限制風險揭露及行銷訂約管理辦法」第</w:t>
            </w:r>
            <w:r>
              <w:t>27</w:t>
            </w:r>
            <w:r>
              <w:t>條及「中華民國信託業商業同業公會會員辦理信託業務之信託報酬及風險揭露應遵循事項」等相關規定，並應注意下列事項：</w:t>
            </w:r>
          </w:p>
          <w:p w14:paraId="32DA1FF7" w14:textId="77777777" w:rsidR="00252D83" w:rsidRDefault="002E27D1">
            <w:pPr>
              <w:ind w:leftChars="460" w:left="1380" w:hangingChars="115" w:hanging="276"/>
            </w:pPr>
            <w:r>
              <w:t>(1)</w:t>
            </w:r>
            <w:r>
              <w:t>是否向委託人充分說明該商品、服務及契約之重要內容並充分揭露其風險。</w:t>
            </w:r>
          </w:p>
          <w:p w14:paraId="75090238" w14:textId="77777777" w:rsidR="00252D83" w:rsidRDefault="002E27D1">
            <w:pPr>
              <w:ind w:leftChars="460" w:left="1380" w:hangingChars="115" w:hanging="276"/>
            </w:pPr>
            <w:r>
              <w:t>(2)</w:t>
            </w:r>
            <w:r>
              <w:t>是否以委託人能充分瞭解方式對委託人進行說明及揭露，其內容是否包括但不限交易成本、可能之收益及風險等有關委託人權益之重要內容。</w:t>
            </w:r>
          </w:p>
          <w:p w14:paraId="75A72716" w14:textId="77777777" w:rsidR="00252D83" w:rsidRDefault="002E27D1">
            <w:pPr>
              <w:ind w:leftChars="460" w:left="1380" w:hangingChars="115" w:hanging="276"/>
            </w:pPr>
            <w:r>
              <w:t>(3)</w:t>
            </w:r>
            <w:r>
              <w:t>向委託人說明重要內容及揭露風險時，是否留存相關資料。</w:t>
            </w:r>
          </w:p>
          <w:p w14:paraId="289363DD" w14:textId="77777777" w:rsidR="00252D83" w:rsidRDefault="002E27D1">
            <w:pPr>
              <w:ind w:leftChars="99" w:left="639" w:hangingChars="167" w:hanging="401"/>
            </w:pPr>
            <w:r>
              <w:t>(</w:t>
            </w:r>
            <w:r>
              <w:t>七</w:t>
            </w:r>
            <w:r>
              <w:t>)</w:t>
            </w:r>
            <w:r>
              <w:t>信託契約訂定時，是否提供委託人合理審閱期。</w:t>
            </w:r>
          </w:p>
          <w:p w14:paraId="396AEC47" w14:textId="77777777" w:rsidR="00252D83" w:rsidRDefault="002E27D1">
            <w:pPr>
              <w:ind w:leftChars="99" w:left="639" w:hangingChars="167" w:hanging="401"/>
            </w:pPr>
            <w:r>
              <w:t>(</w:t>
            </w:r>
            <w:r>
              <w:t>八</w:t>
            </w:r>
            <w:r>
              <w:t>)</w:t>
            </w:r>
            <w:r>
              <w:t>公司分支機構</w:t>
            </w:r>
            <w:r>
              <w:rPr>
                <w:color w:val="FF0000"/>
                <w:u w:val="single"/>
              </w:rPr>
              <w:t>或簡易分支機構</w:t>
            </w:r>
            <w:r>
              <w:t>辦理受託買賣有價證券業務之後檯人員，擔任文書作業人員兼辦財富管理信託客戶開戶資料及交易紀錄資料建置及維護等事務性作業，是否符合下列規範：</w:t>
            </w:r>
          </w:p>
          <w:p w14:paraId="55F73536" w14:textId="77777777" w:rsidR="00252D83" w:rsidRDefault="002E27D1">
            <w:pPr>
              <w:ind w:leftChars="280" w:left="948" w:hangingChars="115" w:hanging="276"/>
            </w:pPr>
            <w:r>
              <w:t>1.</w:t>
            </w:r>
            <w:r>
              <w:t>對於財富管理信託客戶開戶及交易流程，已能明確界定財富管理信託業務人員及文書作業人員之權責分工。</w:t>
            </w:r>
          </w:p>
          <w:p w14:paraId="07C13528" w14:textId="77777777" w:rsidR="00252D83" w:rsidRDefault="002E27D1">
            <w:pPr>
              <w:ind w:leftChars="280" w:left="948" w:hangingChars="115" w:hanging="276"/>
            </w:pPr>
            <w:r>
              <w:t>2.</w:t>
            </w:r>
            <w:r>
              <w:t>前述該等文書作業人員僅負責文件繕打，確未涉及參與決定文件內容及對外諮詢或查詢服務等開戶及交易相關作業。</w:t>
            </w:r>
          </w:p>
          <w:p w14:paraId="1A20FF86" w14:textId="77777777" w:rsidR="00252D83" w:rsidRDefault="002E27D1">
            <w:pPr>
              <w:ind w:leftChars="280" w:left="948" w:hangingChars="115" w:hanging="276"/>
            </w:pPr>
            <w:r>
              <w:t>3.</w:t>
            </w:r>
            <w:r>
              <w:t>相關作業不得有利害衝突或其他損及客戶權益之行為。</w:t>
            </w:r>
          </w:p>
          <w:p w14:paraId="7EF76FCC" w14:textId="77777777" w:rsidR="00252D83" w:rsidRDefault="002E27D1">
            <w:pPr>
              <w:ind w:leftChars="280" w:left="948" w:hangingChars="115" w:hanging="276"/>
            </w:pPr>
            <w:r>
              <w:t>4.</w:t>
            </w:r>
            <w:r>
              <w:t>就財富管理信託客戶之開戶資料及交易紀錄資料之資訊保密與使用權限等事項及相關作業，應訂定配套控管機制，除應確認符合前述第</w:t>
            </w:r>
            <w:r>
              <w:t>(1)</w:t>
            </w:r>
            <w:r>
              <w:t>、第</w:t>
            </w:r>
            <w:r>
              <w:t>(2)</w:t>
            </w:r>
            <w:r>
              <w:t>及第</w:t>
            </w:r>
            <w:r>
              <w:t>(3)</w:t>
            </w:r>
            <w:r>
              <w:t>項外，並應妥為處理因前述資料建置及維護等事務性作業所取得、經手或知悉之財富管理信託客戶資料，就客戶資料與交易紀錄等相關資訊之建檔與傳遞、客戶資訊之保密規範與資訊系統使用權限之管控方式、以及財富管理信託業務與證券商受託買賣有價證券業務之客戶資訊處理系統之區隔，制定控管作業流程，以維護財富管理信託客戶資料之安全性及防止客戶資訊之不當流用。</w:t>
            </w:r>
          </w:p>
        </w:tc>
        <w:tc>
          <w:tcPr>
            <w:tcW w:w="851" w:type="dxa"/>
          </w:tcPr>
          <w:p w14:paraId="7588E72F"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850" w:type="dxa"/>
          </w:tcPr>
          <w:p w14:paraId="2019DC81"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709" w:type="dxa"/>
          </w:tcPr>
          <w:p w14:paraId="1B2D0008"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1276" w:type="dxa"/>
            <w:tcBorders>
              <w:right w:val="single" w:sz="12" w:space="0" w:color="auto"/>
            </w:tcBorders>
          </w:tcPr>
          <w:p w14:paraId="2866EB1B" w14:textId="77777777" w:rsidR="00A1667A" w:rsidRPr="00367148" w:rsidRDefault="00A1667A" w:rsidP="00647C22">
            <w:pPr>
              <w:spacing w:line="260" w:lineRule="exact"/>
              <w:rPr>
                <w:rFonts w:ascii="新細明體" w:hAnsi="新細明體"/>
                <w:color w:val="000000" w:themeColor="text1"/>
              </w:rPr>
            </w:pPr>
          </w:p>
        </w:tc>
      </w:tr>
      <w:tr w:rsidR="00367148" w:rsidRPr="00367148" w14:paraId="4EBA084A" w14:textId="77777777" w:rsidTr="00455A5F">
        <w:trPr>
          <w:cantSplit/>
        </w:trPr>
        <w:tc>
          <w:tcPr>
            <w:tcW w:w="15054" w:type="dxa"/>
            <w:gridSpan w:val="6"/>
            <w:tcBorders>
              <w:left w:val="single" w:sz="12" w:space="0" w:color="auto"/>
              <w:bottom w:val="single" w:sz="12" w:space="0" w:color="auto"/>
              <w:right w:val="single" w:sz="12" w:space="0" w:color="auto"/>
            </w:tcBorders>
          </w:tcPr>
          <w:p w14:paraId="7727D8EE" w14:textId="77777777" w:rsidR="00A1667A" w:rsidRPr="00367148" w:rsidRDefault="00A1667A" w:rsidP="00647C22">
            <w:pPr>
              <w:ind w:firstLine="180"/>
              <w:rPr>
                <w:rFonts w:ascii="新細明體" w:hAnsi="新細明體"/>
                <w:color w:val="000000" w:themeColor="text1"/>
              </w:rPr>
            </w:pPr>
            <w:r w:rsidRPr="00367148">
              <w:rPr>
                <w:rFonts w:ascii="新細明體" w:hAnsi="新細明體" w:hint="eastAsia"/>
                <w:color w:val="000000" w:themeColor="text1"/>
                <w:spacing w:val="24"/>
              </w:rPr>
              <w:t>備</w:t>
            </w:r>
            <w:r w:rsidR="00055C99">
              <w:rPr>
                <w:rFonts w:ascii="新細明體" w:hAnsi="新細明體" w:hint="eastAsia"/>
                <w:color w:val="000000" w:themeColor="text1"/>
                <w:spacing w:val="24"/>
              </w:rPr>
              <w:t xml:space="preserve">  </w:t>
            </w:r>
            <w:r w:rsidRPr="00367148">
              <w:rPr>
                <w:rFonts w:ascii="新細明體" w:hAnsi="新細明體" w:hint="eastAsia"/>
                <w:color w:val="000000" w:themeColor="text1"/>
                <w:spacing w:val="24"/>
              </w:rPr>
              <w:t>註：</w:t>
            </w:r>
          </w:p>
        </w:tc>
      </w:tr>
    </w:tbl>
    <w:p w14:paraId="51DCD307" w14:textId="77777777" w:rsidR="00A24670" w:rsidRPr="00EF3852" w:rsidRDefault="00A3347B" w:rsidP="00EF3852">
      <w:pPr>
        <w:spacing w:beforeLines="50" w:before="180"/>
        <w:rPr>
          <w:rFonts w:ascii="新細明體" w:hAnsi="新細明體"/>
          <w:color w:val="000000" w:themeColor="text1"/>
          <w:spacing w:val="24"/>
          <w:u w:val="single"/>
        </w:rPr>
      </w:pPr>
      <w:r w:rsidRPr="00367148">
        <w:rPr>
          <w:rFonts w:ascii="新細明體" w:hAnsi="新細明體" w:hint="eastAsia"/>
          <w:color w:val="000000" w:themeColor="text1"/>
          <w:spacing w:val="24"/>
        </w:rPr>
        <w:t xml:space="preserve">                                                        稽核人員</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u w:val="single"/>
        </w:rPr>
        <w:t xml:space="preserve">　　　　</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rPr>
        <w:t>日</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rPr>
        <w:t>期</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u w:val="single"/>
        </w:rPr>
        <w:t xml:space="preserve">　　　　</w:t>
      </w:r>
    </w:p>
    <w:sectPr w:rsidR="00A24670" w:rsidRPr="00EF3852" w:rsidSect="00284C2E">
      <w:pgSz w:w="16838" w:h="11906" w:orient="landscape"/>
      <w:pgMar w:top="680" w:right="1134" w:bottom="68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31811" w14:textId="77777777" w:rsidR="00097991" w:rsidRDefault="00097991" w:rsidP="00D253DA">
      <w:r>
        <w:separator/>
      </w:r>
    </w:p>
  </w:endnote>
  <w:endnote w:type="continuationSeparator" w:id="0">
    <w:p w14:paraId="55CDD5FC" w14:textId="77777777" w:rsidR="00097991" w:rsidRDefault="00097991" w:rsidP="00D25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Kai-SB"/>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B3500" w14:textId="77777777" w:rsidR="00097991" w:rsidRDefault="00097991" w:rsidP="00D253DA">
      <w:r>
        <w:separator/>
      </w:r>
    </w:p>
  </w:footnote>
  <w:footnote w:type="continuationSeparator" w:id="0">
    <w:p w14:paraId="401F3533" w14:textId="77777777" w:rsidR="00097991" w:rsidRDefault="00097991" w:rsidP="00D253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F7583"/>
    <w:multiLevelType w:val="multilevel"/>
    <w:tmpl w:val="B5C28946"/>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021" w:hanging="454"/>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 w15:restartNumberingAfterBreak="0">
    <w:nsid w:val="166855BE"/>
    <w:multiLevelType w:val="hybridMultilevel"/>
    <w:tmpl w:val="66AE947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51C4F1A"/>
    <w:multiLevelType w:val="hybridMultilevel"/>
    <w:tmpl w:val="5880AAC6"/>
    <w:lvl w:ilvl="0" w:tplc="F20C35DA">
      <w:start w:val="1"/>
      <w:numFmt w:val="taiwaneseCountingThousand"/>
      <w:lvlText w:val="(%1)"/>
      <w:lvlJc w:val="left"/>
      <w:pPr>
        <w:ind w:left="483" w:hanging="480"/>
      </w:pPr>
      <w:rPr>
        <w:rFonts w:hint="default"/>
      </w:rPr>
    </w:lvl>
    <w:lvl w:ilvl="1" w:tplc="04090019" w:tentative="1">
      <w:start w:val="1"/>
      <w:numFmt w:val="ideographTraditional"/>
      <w:lvlText w:val="%2、"/>
      <w:lvlJc w:val="left"/>
      <w:pPr>
        <w:ind w:left="963" w:hanging="480"/>
      </w:pPr>
    </w:lvl>
    <w:lvl w:ilvl="2" w:tplc="0409001B" w:tentative="1">
      <w:start w:val="1"/>
      <w:numFmt w:val="lowerRoman"/>
      <w:lvlText w:val="%3."/>
      <w:lvlJc w:val="right"/>
      <w:pPr>
        <w:ind w:left="1443" w:hanging="480"/>
      </w:pPr>
    </w:lvl>
    <w:lvl w:ilvl="3" w:tplc="0409000F" w:tentative="1">
      <w:start w:val="1"/>
      <w:numFmt w:val="decimal"/>
      <w:lvlText w:val="%4."/>
      <w:lvlJc w:val="left"/>
      <w:pPr>
        <w:ind w:left="1923" w:hanging="480"/>
      </w:pPr>
    </w:lvl>
    <w:lvl w:ilvl="4" w:tplc="04090019" w:tentative="1">
      <w:start w:val="1"/>
      <w:numFmt w:val="ideographTraditional"/>
      <w:lvlText w:val="%5、"/>
      <w:lvlJc w:val="left"/>
      <w:pPr>
        <w:ind w:left="2403" w:hanging="480"/>
      </w:pPr>
    </w:lvl>
    <w:lvl w:ilvl="5" w:tplc="0409001B" w:tentative="1">
      <w:start w:val="1"/>
      <w:numFmt w:val="lowerRoman"/>
      <w:lvlText w:val="%6."/>
      <w:lvlJc w:val="right"/>
      <w:pPr>
        <w:ind w:left="2883" w:hanging="480"/>
      </w:pPr>
    </w:lvl>
    <w:lvl w:ilvl="6" w:tplc="0409000F" w:tentative="1">
      <w:start w:val="1"/>
      <w:numFmt w:val="decimal"/>
      <w:lvlText w:val="%7."/>
      <w:lvlJc w:val="left"/>
      <w:pPr>
        <w:ind w:left="3363" w:hanging="480"/>
      </w:pPr>
    </w:lvl>
    <w:lvl w:ilvl="7" w:tplc="04090019" w:tentative="1">
      <w:start w:val="1"/>
      <w:numFmt w:val="ideographTraditional"/>
      <w:lvlText w:val="%8、"/>
      <w:lvlJc w:val="left"/>
      <w:pPr>
        <w:ind w:left="3843" w:hanging="480"/>
      </w:pPr>
    </w:lvl>
    <w:lvl w:ilvl="8" w:tplc="0409001B" w:tentative="1">
      <w:start w:val="1"/>
      <w:numFmt w:val="lowerRoman"/>
      <w:lvlText w:val="%9."/>
      <w:lvlJc w:val="right"/>
      <w:pPr>
        <w:ind w:left="4323" w:hanging="480"/>
      </w:pPr>
    </w:lvl>
  </w:abstractNum>
  <w:abstractNum w:abstractNumId="3" w15:restartNumberingAfterBreak="0">
    <w:nsid w:val="26890CFE"/>
    <w:multiLevelType w:val="hybridMultilevel"/>
    <w:tmpl w:val="36083E8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B3643E6"/>
    <w:multiLevelType w:val="hybridMultilevel"/>
    <w:tmpl w:val="5F26A6B6"/>
    <w:lvl w:ilvl="0" w:tplc="D674AFE4">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F5F3B5A"/>
    <w:multiLevelType w:val="hybridMultilevel"/>
    <w:tmpl w:val="40F0A44E"/>
    <w:lvl w:ilvl="0" w:tplc="A18C01C6">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4EB15F7"/>
    <w:multiLevelType w:val="multilevel"/>
    <w:tmpl w:val="9692EEF6"/>
    <w:lvl w:ilvl="0">
      <w:start w:val="1"/>
      <w:numFmt w:val="taiwaneseCountingThousand"/>
      <w:suff w:val="space"/>
      <w:lvlText w:val="(%1)"/>
      <w:lvlJc w:val="left"/>
      <w:pPr>
        <w:ind w:left="567" w:hanging="567"/>
      </w:pPr>
      <w:rPr>
        <w:rFonts w:hint="eastAsia"/>
      </w:rPr>
    </w:lvl>
    <w:lvl w:ilvl="1">
      <w:start w:val="1"/>
      <w:numFmt w:val="decimal"/>
      <w:suff w:val="space"/>
      <w:lvlText w:val="%2."/>
      <w:lvlJc w:val="left"/>
      <w:pPr>
        <w:ind w:left="851" w:hanging="284"/>
      </w:pPr>
      <w:rPr>
        <w:rFonts w:hint="eastAsia"/>
      </w:rPr>
    </w:lvl>
    <w:lvl w:ilvl="2">
      <w:start w:val="1"/>
      <w:numFmt w:val="decimal"/>
      <w:lvlText w:val="(%3)"/>
      <w:lvlJc w:val="left"/>
      <w:pPr>
        <w:tabs>
          <w:tab w:val="num" w:pos="1276"/>
        </w:tabs>
        <w:ind w:left="1276" w:hanging="425"/>
      </w:pPr>
      <w:rPr>
        <w:rFonts w:hint="eastAsia"/>
      </w:rPr>
    </w:lvl>
    <w:lvl w:ilvl="3">
      <w:start w:val="1"/>
      <w:numFmt w:val="lowerLetter"/>
      <w:lvlText w:val="%4."/>
      <w:lvlJc w:val="left"/>
      <w:pPr>
        <w:tabs>
          <w:tab w:val="num" w:pos="1440"/>
        </w:tabs>
        <w:ind w:left="1440" w:hanging="360"/>
      </w:pPr>
      <w:rPr>
        <w:rFonts w:hint="eastAsia"/>
      </w:rPr>
    </w:lvl>
    <w:lvl w:ilvl="4">
      <w:start w:val="1"/>
      <w:numFmt w:val="decimal"/>
      <w:lvlText w:val="%5."/>
      <w:lvlJc w:val="left"/>
      <w:pPr>
        <w:tabs>
          <w:tab w:val="num" w:pos="1800"/>
        </w:tabs>
        <w:ind w:left="1800" w:hanging="360"/>
      </w:pPr>
      <w:rPr>
        <w:rFonts w:hint="eastAsia"/>
      </w:rPr>
    </w:lvl>
    <w:lvl w:ilvl="5">
      <w:start w:val="1"/>
      <w:numFmt w:val="lowerLetter"/>
      <w:lvlText w:val="%6."/>
      <w:lvlJc w:val="left"/>
      <w:pPr>
        <w:tabs>
          <w:tab w:val="num" w:pos="2160"/>
        </w:tabs>
        <w:ind w:left="2160" w:hanging="360"/>
      </w:pPr>
      <w:rPr>
        <w:rFonts w:hint="eastAsia"/>
      </w:rPr>
    </w:lvl>
    <w:lvl w:ilvl="6">
      <w:start w:val="1"/>
      <w:numFmt w:val="lowerRoman"/>
      <w:lvlText w:val="%7."/>
      <w:lvlJc w:val="left"/>
      <w:pPr>
        <w:tabs>
          <w:tab w:val="num" w:pos="2520"/>
        </w:tabs>
        <w:ind w:left="2520" w:hanging="360"/>
      </w:pPr>
      <w:rPr>
        <w:rFonts w:hint="eastAsia"/>
      </w:rPr>
    </w:lvl>
    <w:lvl w:ilvl="7">
      <w:start w:val="1"/>
      <w:numFmt w:val="lowerLetter"/>
      <w:lvlText w:val="%8."/>
      <w:lvlJc w:val="left"/>
      <w:pPr>
        <w:tabs>
          <w:tab w:val="num" w:pos="2880"/>
        </w:tabs>
        <w:ind w:left="2880" w:hanging="360"/>
      </w:pPr>
      <w:rPr>
        <w:rFonts w:hint="eastAsia"/>
      </w:rPr>
    </w:lvl>
    <w:lvl w:ilvl="8">
      <w:start w:val="1"/>
      <w:numFmt w:val="lowerRoman"/>
      <w:lvlText w:val="%9."/>
      <w:lvlJc w:val="left"/>
      <w:pPr>
        <w:tabs>
          <w:tab w:val="num" w:pos="3240"/>
        </w:tabs>
        <w:ind w:left="3240" w:hanging="360"/>
      </w:pPr>
      <w:rPr>
        <w:rFonts w:hint="eastAsia"/>
      </w:rPr>
    </w:lvl>
  </w:abstractNum>
  <w:abstractNum w:abstractNumId="7" w15:restartNumberingAfterBreak="0">
    <w:nsid w:val="5C057022"/>
    <w:multiLevelType w:val="hybridMultilevel"/>
    <w:tmpl w:val="309E970E"/>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0EE4CB6"/>
    <w:multiLevelType w:val="singleLevel"/>
    <w:tmpl w:val="23DE42CC"/>
    <w:lvl w:ilvl="0">
      <w:start w:val="1"/>
      <w:numFmt w:val="taiwaneseCountingThousand"/>
      <w:pStyle w:val="1"/>
      <w:lvlText w:val="(%1)"/>
      <w:lvlJc w:val="left"/>
      <w:pPr>
        <w:tabs>
          <w:tab w:val="num" w:pos="1230"/>
        </w:tabs>
        <w:ind w:left="340" w:firstLine="170"/>
      </w:pPr>
      <w:rPr>
        <w:rFonts w:ascii="Times New Roman" w:hAnsi="Times New Roman" w:cs="Times New Roman" w:hint="eastAsia"/>
      </w:rPr>
    </w:lvl>
  </w:abstractNum>
  <w:abstractNum w:abstractNumId="9" w15:restartNumberingAfterBreak="0">
    <w:nsid w:val="615723B5"/>
    <w:multiLevelType w:val="hybridMultilevel"/>
    <w:tmpl w:val="3EB89878"/>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833986210">
    <w:abstractNumId w:val="8"/>
  </w:num>
  <w:num w:numId="2" w16cid:durableId="1140803734">
    <w:abstractNumId w:val="0"/>
  </w:num>
  <w:num w:numId="3" w16cid:durableId="118762223">
    <w:abstractNumId w:val="2"/>
  </w:num>
  <w:num w:numId="4" w16cid:durableId="696395036">
    <w:abstractNumId w:val="4"/>
  </w:num>
  <w:num w:numId="5" w16cid:durableId="1778286075">
    <w:abstractNumId w:val="5"/>
  </w:num>
  <w:num w:numId="6" w16cid:durableId="1070345503">
    <w:abstractNumId w:val="6"/>
  </w:num>
  <w:num w:numId="7" w16cid:durableId="414210760">
    <w:abstractNumId w:val="9"/>
  </w:num>
  <w:num w:numId="8" w16cid:durableId="2114980009">
    <w:abstractNumId w:val="7"/>
  </w:num>
  <w:num w:numId="9" w16cid:durableId="985864830">
    <w:abstractNumId w:val="3"/>
  </w:num>
  <w:num w:numId="10" w16cid:durableId="19724025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161"/>
    <w:rsid w:val="00012DB3"/>
    <w:rsid w:val="00013A9E"/>
    <w:rsid w:val="000216E6"/>
    <w:rsid w:val="00021C10"/>
    <w:rsid w:val="00034BB9"/>
    <w:rsid w:val="00055C99"/>
    <w:rsid w:val="00060168"/>
    <w:rsid w:val="00061E81"/>
    <w:rsid w:val="00071F35"/>
    <w:rsid w:val="000731FA"/>
    <w:rsid w:val="000733BF"/>
    <w:rsid w:val="000738D8"/>
    <w:rsid w:val="00075AC3"/>
    <w:rsid w:val="00085A58"/>
    <w:rsid w:val="00092406"/>
    <w:rsid w:val="00096F14"/>
    <w:rsid w:val="00097991"/>
    <w:rsid w:val="000A4AF2"/>
    <w:rsid w:val="000B1084"/>
    <w:rsid w:val="000B3E18"/>
    <w:rsid w:val="000B750B"/>
    <w:rsid w:val="000B7B71"/>
    <w:rsid w:val="000B7D5B"/>
    <w:rsid w:val="000C0D07"/>
    <w:rsid w:val="000C45D4"/>
    <w:rsid w:val="000D6B17"/>
    <w:rsid w:val="000D6E5B"/>
    <w:rsid w:val="000F37DD"/>
    <w:rsid w:val="0011220A"/>
    <w:rsid w:val="0011623D"/>
    <w:rsid w:val="00116AF7"/>
    <w:rsid w:val="00120188"/>
    <w:rsid w:val="00122D16"/>
    <w:rsid w:val="00125530"/>
    <w:rsid w:val="001267E4"/>
    <w:rsid w:val="00133DF6"/>
    <w:rsid w:val="00134883"/>
    <w:rsid w:val="00134ECA"/>
    <w:rsid w:val="00137DF7"/>
    <w:rsid w:val="00151762"/>
    <w:rsid w:val="00153999"/>
    <w:rsid w:val="00160E83"/>
    <w:rsid w:val="001635E1"/>
    <w:rsid w:val="00182897"/>
    <w:rsid w:val="00182FD3"/>
    <w:rsid w:val="00190BC6"/>
    <w:rsid w:val="001A1FD8"/>
    <w:rsid w:val="001A2FF1"/>
    <w:rsid w:val="001B4BE3"/>
    <w:rsid w:val="001C3E48"/>
    <w:rsid w:val="001C3E74"/>
    <w:rsid w:val="001C4E28"/>
    <w:rsid w:val="001D7FAD"/>
    <w:rsid w:val="001F12B7"/>
    <w:rsid w:val="002021CF"/>
    <w:rsid w:val="00206453"/>
    <w:rsid w:val="00207834"/>
    <w:rsid w:val="00230C9D"/>
    <w:rsid w:val="00234AA8"/>
    <w:rsid w:val="002376FA"/>
    <w:rsid w:val="002432F4"/>
    <w:rsid w:val="00243EA1"/>
    <w:rsid w:val="00245C15"/>
    <w:rsid w:val="00250198"/>
    <w:rsid w:val="00252D83"/>
    <w:rsid w:val="0025675C"/>
    <w:rsid w:val="00260A68"/>
    <w:rsid w:val="00267873"/>
    <w:rsid w:val="00273D15"/>
    <w:rsid w:val="0027434F"/>
    <w:rsid w:val="0027590B"/>
    <w:rsid w:val="00284C2E"/>
    <w:rsid w:val="00296A8C"/>
    <w:rsid w:val="002A03D0"/>
    <w:rsid w:val="002A1FF7"/>
    <w:rsid w:val="002A4796"/>
    <w:rsid w:val="002B134A"/>
    <w:rsid w:val="002B16A5"/>
    <w:rsid w:val="002B1B2A"/>
    <w:rsid w:val="002B4A98"/>
    <w:rsid w:val="002B50E6"/>
    <w:rsid w:val="002B69AD"/>
    <w:rsid w:val="002C3D1B"/>
    <w:rsid w:val="002C755D"/>
    <w:rsid w:val="002D06ED"/>
    <w:rsid w:val="002D1CFB"/>
    <w:rsid w:val="002D51F4"/>
    <w:rsid w:val="002D5539"/>
    <w:rsid w:val="002E27D1"/>
    <w:rsid w:val="002F16DD"/>
    <w:rsid w:val="002F2436"/>
    <w:rsid w:val="002F2DFA"/>
    <w:rsid w:val="002F49F3"/>
    <w:rsid w:val="002F57B7"/>
    <w:rsid w:val="00300623"/>
    <w:rsid w:val="00300C57"/>
    <w:rsid w:val="00303D7E"/>
    <w:rsid w:val="003133E1"/>
    <w:rsid w:val="0031403A"/>
    <w:rsid w:val="00314CE7"/>
    <w:rsid w:val="00317A96"/>
    <w:rsid w:val="00317ACD"/>
    <w:rsid w:val="00325E5A"/>
    <w:rsid w:val="00334B18"/>
    <w:rsid w:val="00344123"/>
    <w:rsid w:val="00351611"/>
    <w:rsid w:val="00353B28"/>
    <w:rsid w:val="00367148"/>
    <w:rsid w:val="00374E0E"/>
    <w:rsid w:val="00382874"/>
    <w:rsid w:val="003A7FBE"/>
    <w:rsid w:val="003B26ED"/>
    <w:rsid w:val="003B5E07"/>
    <w:rsid w:val="003C20BF"/>
    <w:rsid w:val="003C754B"/>
    <w:rsid w:val="003C789F"/>
    <w:rsid w:val="003D0C59"/>
    <w:rsid w:val="003D2115"/>
    <w:rsid w:val="003E5F61"/>
    <w:rsid w:val="00400E6D"/>
    <w:rsid w:val="00410F98"/>
    <w:rsid w:val="0041457C"/>
    <w:rsid w:val="004229A3"/>
    <w:rsid w:val="00431812"/>
    <w:rsid w:val="0043293A"/>
    <w:rsid w:val="00440574"/>
    <w:rsid w:val="00440CF8"/>
    <w:rsid w:val="00444456"/>
    <w:rsid w:val="00455A5F"/>
    <w:rsid w:val="00474B4E"/>
    <w:rsid w:val="00481DE6"/>
    <w:rsid w:val="00483844"/>
    <w:rsid w:val="004A4B59"/>
    <w:rsid w:val="004A7E9E"/>
    <w:rsid w:val="004B2CD0"/>
    <w:rsid w:val="004C0F9A"/>
    <w:rsid w:val="004E16DF"/>
    <w:rsid w:val="004E330A"/>
    <w:rsid w:val="00502095"/>
    <w:rsid w:val="005034CB"/>
    <w:rsid w:val="005044EC"/>
    <w:rsid w:val="005200FE"/>
    <w:rsid w:val="005240E1"/>
    <w:rsid w:val="005327E8"/>
    <w:rsid w:val="00537B07"/>
    <w:rsid w:val="0054342D"/>
    <w:rsid w:val="0055469E"/>
    <w:rsid w:val="005610BC"/>
    <w:rsid w:val="0057123A"/>
    <w:rsid w:val="005715B0"/>
    <w:rsid w:val="00585C65"/>
    <w:rsid w:val="0059082B"/>
    <w:rsid w:val="005A204F"/>
    <w:rsid w:val="005A51E2"/>
    <w:rsid w:val="005C35E5"/>
    <w:rsid w:val="005D49C9"/>
    <w:rsid w:val="005D5E4D"/>
    <w:rsid w:val="005E0E2C"/>
    <w:rsid w:val="005E344C"/>
    <w:rsid w:val="005E3DFF"/>
    <w:rsid w:val="005F1322"/>
    <w:rsid w:val="005F5945"/>
    <w:rsid w:val="005F594B"/>
    <w:rsid w:val="005F73D1"/>
    <w:rsid w:val="00600DA5"/>
    <w:rsid w:val="00601E8C"/>
    <w:rsid w:val="006176E2"/>
    <w:rsid w:val="00647C22"/>
    <w:rsid w:val="00657C60"/>
    <w:rsid w:val="00661D33"/>
    <w:rsid w:val="00662526"/>
    <w:rsid w:val="00664E6D"/>
    <w:rsid w:val="00666D6E"/>
    <w:rsid w:val="0067139E"/>
    <w:rsid w:val="00677DAF"/>
    <w:rsid w:val="0069488D"/>
    <w:rsid w:val="0069784E"/>
    <w:rsid w:val="006A6D65"/>
    <w:rsid w:val="006B1C94"/>
    <w:rsid w:val="006B786D"/>
    <w:rsid w:val="006C4D07"/>
    <w:rsid w:val="006C63F0"/>
    <w:rsid w:val="006D034B"/>
    <w:rsid w:val="006D1078"/>
    <w:rsid w:val="006D27EC"/>
    <w:rsid w:val="00702D71"/>
    <w:rsid w:val="00711873"/>
    <w:rsid w:val="007266FF"/>
    <w:rsid w:val="007404A6"/>
    <w:rsid w:val="00751823"/>
    <w:rsid w:val="00753702"/>
    <w:rsid w:val="00753B5B"/>
    <w:rsid w:val="007665A4"/>
    <w:rsid w:val="0077161A"/>
    <w:rsid w:val="0077362B"/>
    <w:rsid w:val="00792CFF"/>
    <w:rsid w:val="00793B17"/>
    <w:rsid w:val="007A0E65"/>
    <w:rsid w:val="007B1EE6"/>
    <w:rsid w:val="007D24BE"/>
    <w:rsid w:val="007F35FA"/>
    <w:rsid w:val="007F638D"/>
    <w:rsid w:val="00810B5C"/>
    <w:rsid w:val="00820E2B"/>
    <w:rsid w:val="008264EC"/>
    <w:rsid w:val="00826633"/>
    <w:rsid w:val="00840E30"/>
    <w:rsid w:val="00843649"/>
    <w:rsid w:val="00844012"/>
    <w:rsid w:val="008456DF"/>
    <w:rsid w:val="00847DBC"/>
    <w:rsid w:val="0085118D"/>
    <w:rsid w:val="008600C2"/>
    <w:rsid w:val="0087330A"/>
    <w:rsid w:val="00877707"/>
    <w:rsid w:val="00881A04"/>
    <w:rsid w:val="008926BC"/>
    <w:rsid w:val="008A727F"/>
    <w:rsid w:val="008B3EB3"/>
    <w:rsid w:val="008B4360"/>
    <w:rsid w:val="008C286B"/>
    <w:rsid w:val="008D1A0D"/>
    <w:rsid w:val="008D1EDA"/>
    <w:rsid w:val="008D4C3F"/>
    <w:rsid w:val="008D7020"/>
    <w:rsid w:val="008E17AE"/>
    <w:rsid w:val="008E2D90"/>
    <w:rsid w:val="008E43D1"/>
    <w:rsid w:val="009019BC"/>
    <w:rsid w:val="00902C35"/>
    <w:rsid w:val="009206D6"/>
    <w:rsid w:val="00927700"/>
    <w:rsid w:val="009305F6"/>
    <w:rsid w:val="00931E26"/>
    <w:rsid w:val="00941D42"/>
    <w:rsid w:val="00945C4A"/>
    <w:rsid w:val="00951604"/>
    <w:rsid w:val="00953424"/>
    <w:rsid w:val="00962BEB"/>
    <w:rsid w:val="00966363"/>
    <w:rsid w:val="00967E27"/>
    <w:rsid w:val="00970379"/>
    <w:rsid w:val="00971361"/>
    <w:rsid w:val="00987B0B"/>
    <w:rsid w:val="00987CC2"/>
    <w:rsid w:val="00994361"/>
    <w:rsid w:val="0099688B"/>
    <w:rsid w:val="009A180A"/>
    <w:rsid w:val="009A2B04"/>
    <w:rsid w:val="009B03EA"/>
    <w:rsid w:val="009B24C9"/>
    <w:rsid w:val="009C01DC"/>
    <w:rsid w:val="009C3B4E"/>
    <w:rsid w:val="009D2746"/>
    <w:rsid w:val="009D77E5"/>
    <w:rsid w:val="009E5794"/>
    <w:rsid w:val="00A13C80"/>
    <w:rsid w:val="00A1667A"/>
    <w:rsid w:val="00A24670"/>
    <w:rsid w:val="00A3098D"/>
    <w:rsid w:val="00A3347B"/>
    <w:rsid w:val="00A56900"/>
    <w:rsid w:val="00A569AD"/>
    <w:rsid w:val="00A573EC"/>
    <w:rsid w:val="00A600C1"/>
    <w:rsid w:val="00A60430"/>
    <w:rsid w:val="00A609E7"/>
    <w:rsid w:val="00A63D32"/>
    <w:rsid w:val="00A6543F"/>
    <w:rsid w:val="00A70465"/>
    <w:rsid w:val="00A72293"/>
    <w:rsid w:val="00A740E4"/>
    <w:rsid w:val="00A76418"/>
    <w:rsid w:val="00A7655D"/>
    <w:rsid w:val="00A76D09"/>
    <w:rsid w:val="00A77465"/>
    <w:rsid w:val="00A804B1"/>
    <w:rsid w:val="00A863BF"/>
    <w:rsid w:val="00AA60EC"/>
    <w:rsid w:val="00AB5EAE"/>
    <w:rsid w:val="00AB60C4"/>
    <w:rsid w:val="00AC2A52"/>
    <w:rsid w:val="00AD06BC"/>
    <w:rsid w:val="00AF5854"/>
    <w:rsid w:val="00AF63DE"/>
    <w:rsid w:val="00B110D2"/>
    <w:rsid w:val="00B1653A"/>
    <w:rsid w:val="00B177BF"/>
    <w:rsid w:val="00B27F48"/>
    <w:rsid w:val="00B332DA"/>
    <w:rsid w:val="00B336AA"/>
    <w:rsid w:val="00B37227"/>
    <w:rsid w:val="00B40BE3"/>
    <w:rsid w:val="00B43B3A"/>
    <w:rsid w:val="00B43B6E"/>
    <w:rsid w:val="00B47D8F"/>
    <w:rsid w:val="00B55802"/>
    <w:rsid w:val="00B60AB9"/>
    <w:rsid w:val="00B650E1"/>
    <w:rsid w:val="00B65AC9"/>
    <w:rsid w:val="00B713D7"/>
    <w:rsid w:val="00B71A4F"/>
    <w:rsid w:val="00B71AE8"/>
    <w:rsid w:val="00B771F2"/>
    <w:rsid w:val="00B77A59"/>
    <w:rsid w:val="00B936DF"/>
    <w:rsid w:val="00BB1876"/>
    <w:rsid w:val="00BB5E1E"/>
    <w:rsid w:val="00BC1BED"/>
    <w:rsid w:val="00BC5D94"/>
    <w:rsid w:val="00BD0A8B"/>
    <w:rsid w:val="00BD63B1"/>
    <w:rsid w:val="00BE01E6"/>
    <w:rsid w:val="00BE0615"/>
    <w:rsid w:val="00C01E50"/>
    <w:rsid w:val="00C02697"/>
    <w:rsid w:val="00C038B3"/>
    <w:rsid w:val="00C051C5"/>
    <w:rsid w:val="00C06685"/>
    <w:rsid w:val="00C10899"/>
    <w:rsid w:val="00C12943"/>
    <w:rsid w:val="00C13A56"/>
    <w:rsid w:val="00C40023"/>
    <w:rsid w:val="00C43224"/>
    <w:rsid w:val="00C502E5"/>
    <w:rsid w:val="00C54497"/>
    <w:rsid w:val="00C55D61"/>
    <w:rsid w:val="00C618D2"/>
    <w:rsid w:val="00C666C3"/>
    <w:rsid w:val="00C7577C"/>
    <w:rsid w:val="00C77171"/>
    <w:rsid w:val="00C80CB7"/>
    <w:rsid w:val="00C92619"/>
    <w:rsid w:val="00C9551B"/>
    <w:rsid w:val="00C97BBC"/>
    <w:rsid w:val="00CB0A40"/>
    <w:rsid w:val="00CB1E82"/>
    <w:rsid w:val="00CC0247"/>
    <w:rsid w:val="00CC1D26"/>
    <w:rsid w:val="00CE0B3B"/>
    <w:rsid w:val="00CE0FA0"/>
    <w:rsid w:val="00CE6BE7"/>
    <w:rsid w:val="00CF41F2"/>
    <w:rsid w:val="00CF7E52"/>
    <w:rsid w:val="00D0103E"/>
    <w:rsid w:val="00D054DE"/>
    <w:rsid w:val="00D13E9F"/>
    <w:rsid w:val="00D20DE0"/>
    <w:rsid w:val="00D248DD"/>
    <w:rsid w:val="00D253DA"/>
    <w:rsid w:val="00D32657"/>
    <w:rsid w:val="00D33667"/>
    <w:rsid w:val="00D4653E"/>
    <w:rsid w:val="00D5018B"/>
    <w:rsid w:val="00D56F20"/>
    <w:rsid w:val="00D61AE4"/>
    <w:rsid w:val="00D62635"/>
    <w:rsid w:val="00D70D5F"/>
    <w:rsid w:val="00D710C8"/>
    <w:rsid w:val="00D7301A"/>
    <w:rsid w:val="00D7596F"/>
    <w:rsid w:val="00D8204E"/>
    <w:rsid w:val="00D84D70"/>
    <w:rsid w:val="00DA0161"/>
    <w:rsid w:val="00DA0F1B"/>
    <w:rsid w:val="00DC040D"/>
    <w:rsid w:val="00DC6263"/>
    <w:rsid w:val="00DC6402"/>
    <w:rsid w:val="00DE027C"/>
    <w:rsid w:val="00E025C9"/>
    <w:rsid w:val="00E02BA5"/>
    <w:rsid w:val="00E0414A"/>
    <w:rsid w:val="00E04C37"/>
    <w:rsid w:val="00E04E52"/>
    <w:rsid w:val="00E05215"/>
    <w:rsid w:val="00E10468"/>
    <w:rsid w:val="00E23984"/>
    <w:rsid w:val="00E26F65"/>
    <w:rsid w:val="00E32A97"/>
    <w:rsid w:val="00E42EE1"/>
    <w:rsid w:val="00E44E4E"/>
    <w:rsid w:val="00E5074E"/>
    <w:rsid w:val="00E56C42"/>
    <w:rsid w:val="00E755B9"/>
    <w:rsid w:val="00E941A9"/>
    <w:rsid w:val="00E97905"/>
    <w:rsid w:val="00EA0AA8"/>
    <w:rsid w:val="00EA7651"/>
    <w:rsid w:val="00EB4563"/>
    <w:rsid w:val="00EB45B5"/>
    <w:rsid w:val="00EB5D6D"/>
    <w:rsid w:val="00EC52A4"/>
    <w:rsid w:val="00EC64A2"/>
    <w:rsid w:val="00EC6C66"/>
    <w:rsid w:val="00ED24D4"/>
    <w:rsid w:val="00EE229C"/>
    <w:rsid w:val="00EE23B9"/>
    <w:rsid w:val="00EE3D47"/>
    <w:rsid w:val="00EE7565"/>
    <w:rsid w:val="00EF3852"/>
    <w:rsid w:val="00F02A55"/>
    <w:rsid w:val="00F166BA"/>
    <w:rsid w:val="00F23467"/>
    <w:rsid w:val="00F30173"/>
    <w:rsid w:val="00F449D4"/>
    <w:rsid w:val="00F46A33"/>
    <w:rsid w:val="00F47776"/>
    <w:rsid w:val="00F47FFD"/>
    <w:rsid w:val="00F63C22"/>
    <w:rsid w:val="00F65344"/>
    <w:rsid w:val="00F65EF0"/>
    <w:rsid w:val="00F706F6"/>
    <w:rsid w:val="00F73C25"/>
    <w:rsid w:val="00F82344"/>
    <w:rsid w:val="00F92384"/>
    <w:rsid w:val="00FA16AB"/>
    <w:rsid w:val="00FC6183"/>
    <w:rsid w:val="00FC6F5D"/>
    <w:rsid w:val="00FD13E8"/>
    <w:rsid w:val="00FD6918"/>
    <w:rsid w:val="00FE465A"/>
    <w:rsid w:val="00FF56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D59CDC"/>
  <w15:chartTrackingRefBased/>
  <w15:docId w15:val="{55023042-2EA0-4443-9AA4-B220539BE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161"/>
    <w:pPr>
      <w:widowControl w:val="0"/>
    </w:pPr>
    <w:rPr>
      <w:rFonts w:ascii="Times New Roman" w:hAnsi="Times New Roman"/>
      <w:kern w:val="2"/>
      <w:sz w:val="24"/>
    </w:rPr>
  </w:style>
  <w:style w:type="paragraph" w:styleId="10">
    <w:name w:val="heading 1"/>
    <w:basedOn w:val="a"/>
    <w:next w:val="a"/>
    <w:link w:val="11"/>
    <w:uiPriority w:val="99"/>
    <w:qFormat/>
    <w:rsid w:val="00A3347B"/>
    <w:pPr>
      <w:snapToGrid w:val="0"/>
      <w:spacing w:after="120" w:line="360" w:lineRule="atLeast"/>
      <w:jc w:val="center"/>
      <w:outlineLvl w:val="0"/>
    </w:pPr>
    <w:rPr>
      <w:rFonts w:ascii="標楷體" w:eastAsia="標楷體" w:hAnsi="Arial"/>
      <w:b/>
      <w:bCs/>
      <w:spacing w:val="10"/>
      <w:kern w:val="52"/>
      <w:sz w:val="36"/>
      <w:szCs w:val="3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253DA"/>
    <w:pPr>
      <w:tabs>
        <w:tab w:val="center" w:pos="4153"/>
        <w:tab w:val="right" w:pos="8306"/>
      </w:tabs>
      <w:snapToGrid w:val="0"/>
    </w:pPr>
    <w:rPr>
      <w:kern w:val="0"/>
      <w:sz w:val="20"/>
      <w:lang w:val="x-none" w:eastAsia="x-none"/>
    </w:rPr>
  </w:style>
  <w:style w:type="character" w:customStyle="1" w:styleId="a4">
    <w:name w:val="頁首 字元"/>
    <w:link w:val="a3"/>
    <w:uiPriority w:val="99"/>
    <w:rsid w:val="00D253DA"/>
    <w:rPr>
      <w:rFonts w:ascii="Times New Roman" w:eastAsia="新細明體" w:hAnsi="Times New Roman" w:cs="Times New Roman"/>
      <w:sz w:val="20"/>
      <w:szCs w:val="20"/>
    </w:rPr>
  </w:style>
  <w:style w:type="paragraph" w:styleId="a5">
    <w:name w:val="footer"/>
    <w:basedOn w:val="a"/>
    <w:link w:val="a6"/>
    <w:uiPriority w:val="99"/>
    <w:unhideWhenUsed/>
    <w:rsid w:val="00D253DA"/>
    <w:pPr>
      <w:tabs>
        <w:tab w:val="center" w:pos="4153"/>
        <w:tab w:val="right" w:pos="8306"/>
      </w:tabs>
      <w:snapToGrid w:val="0"/>
    </w:pPr>
    <w:rPr>
      <w:kern w:val="0"/>
      <w:sz w:val="20"/>
      <w:lang w:val="x-none" w:eastAsia="x-none"/>
    </w:rPr>
  </w:style>
  <w:style w:type="character" w:customStyle="1" w:styleId="a6">
    <w:name w:val="頁尾 字元"/>
    <w:link w:val="a5"/>
    <w:uiPriority w:val="99"/>
    <w:rsid w:val="00D253DA"/>
    <w:rPr>
      <w:rFonts w:ascii="Times New Roman" w:eastAsia="新細明體" w:hAnsi="Times New Roman" w:cs="Times New Roman"/>
      <w:sz w:val="20"/>
      <w:szCs w:val="20"/>
    </w:rPr>
  </w:style>
  <w:style w:type="paragraph" w:styleId="a7">
    <w:name w:val="Balloon Text"/>
    <w:basedOn w:val="a"/>
    <w:link w:val="a8"/>
    <w:uiPriority w:val="99"/>
    <w:semiHidden/>
    <w:unhideWhenUsed/>
    <w:rsid w:val="000B3E18"/>
    <w:rPr>
      <w:rFonts w:ascii="Cambria" w:hAnsi="Cambria"/>
      <w:kern w:val="0"/>
      <w:sz w:val="18"/>
      <w:szCs w:val="18"/>
      <w:lang w:val="x-none" w:eastAsia="x-none"/>
    </w:rPr>
  </w:style>
  <w:style w:type="character" w:customStyle="1" w:styleId="a8">
    <w:name w:val="註解方塊文字 字元"/>
    <w:link w:val="a7"/>
    <w:uiPriority w:val="99"/>
    <w:semiHidden/>
    <w:rsid w:val="000B3E18"/>
    <w:rPr>
      <w:rFonts w:ascii="Cambria" w:eastAsia="新細明體" w:hAnsi="Cambria" w:cs="Times New Roman"/>
      <w:sz w:val="18"/>
      <w:szCs w:val="18"/>
    </w:rPr>
  </w:style>
  <w:style w:type="character" w:styleId="a9">
    <w:name w:val="annotation reference"/>
    <w:uiPriority w:val="99"/>
    <w:semiHidden/>
    <w:unhideWhenUsed/>
    <w:rsid w:val="005E0E2C"/>
    <w:rPr>
      <w:sz w:val="18"/>
      <w:szCs w:val="18"/>
    </w:rPr>
  </w:style>
  <w:style w:type="paragraph" w:styleId="aa">
    <w:name w:val="annotation text"/>
    <w:basedOn w:val="a"/>
    <w:link w:val="ab"/>
    <w:uiPriority w:val="99"/>
    <w:semiHidden/>
    <w:unhideWhenUsed/>
    <w:rsid w:val="005E0E2C"/>
    <w:rPr>
      <w:kern w:val="0"/>
      <w:sz w:val="20"/>
      <w:lang w:val="x-none" w:eastAsia="x-none"/>
    </w:rPr>
  </w:style>
  <w:style w:type="character" w:customStyle="1" w:styleId="ab">
    <w:name w:val="註解文字 字元"/>
    <w:link w:val="aa"/>
    <w:uiPriority w:val="99"/>
    <w:semiHidden/>
    <w:rsid w:val="005E0E2C"/>
    <w:rPr>
      <w:rFonts w:ascii="Times New Roman" w:eastAsia="新細明體" w:hAnsi="Times New Roman" w:cs="Times New Roman"/>
      <w:szCs w:val="20"/>
    </w:rPr>
  </w:style>
  <w:style w:type="paragraph" w:styleId="ac">
    <w:name w:val="annotation subject"/>
    <w:basedOn w:val="aa"/>
    <w:next w:val="aa"/>
    <w:link w:val="ad"/>
    <w:uiPriority w:val="99"/>
    <w:semiHidden/>
    <w:unhideWhenUsed/>
    <w:rsid w:val="005E0E2C"/>
    <w:rPr>
      <w:b/>
      <w:bCs/>
    </w:rPr>
  </w:style>
  <w:style w:type="character" w:customStyle="1" w:styleId="ad">
    <w:name w:val="註解主旨 字元"/>
    <w:link w:val="ac"/>
    <w:uiPriority w:val="99"/>
    <w:semiHidden/>
    <w:rsid w:val="005E0E2C"/>
    <w:rPr>
      <w:rFonts w:ascii="Times New Roman" w:eastAsia="新細明體" w:hAnsi="Times New Roman" w:cs="Times New Roman"/>
      <w:b/>
      <w:bCs/>
      <w:szCs w:val="20"/>
    </w:rPr>
  </w:style>
  <w:style w:type="character" w:customStyle="1" w:styleId="11">
    <w:name w:val="標題 1 字元"/>
    <w:link w:val="10"/>
    <w:uiPriority w:val="99"/>
    <w:rsid w:val="00A3347B"/>
    <w:rPr>
      <w:rFonts w:ascii="標楷體" w:eastAsia="標楷體" w:hAnsi="Arial" w:cs="標楷體"/>
      <w:b/>
      <w:bCs/>
      <w:spacing w:val="10"/>
      <w:kern w:val="52"/>
      <w:sz w:val="36"/>
      <w:szCs w:val="36"/>
    </w:rPr>
  </w:style>
  <w:style w:type="paragraph" w:styleId="HTML">
    <w:name w:val="HTML Preformatted"/>
    <w:basedOn w:val="a"/>
    <w:link w:val="HTML0"/>
    <w:uiPriority w:val="99"/>
    <w:rsid w:val="00A334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color w:val="008000"/>
      <w:kern w:val="0"/>
      <w:sz w:val="20"/>
      <w:lang w:val="x-none" w:eastAsia="x-none"/>
    </w:rPr>
  </w:style>
  <w:style w:type="character" w:customStyle="1" w:styleId="HTML0">
    <w:name w:val="HTML 預設格式 字元"/>
    <w:link w:val="HTML"/>
    <w:uiPriority w:val="99"/>
    <w:rsid w:val="00A3347B"/>
    <w:rPr>
      <w:rFonts w:ascii="細明體" w:eastAsia="細明體" w:hAnsi="Courier New" w:cs="細明體"/>
      <w:color w:val="008000"/>
    </w:rPr>
  </w:style>
  <w:style w:type="paragraph" w:styleId="ae">
    <w:name w:val="Plain Text"/>
    <w:basedOn w:val="a"/>
    <w:link w:val="af"/>
    <w:rsid w:val="00A3347B"/>
    <w:pPr>
      <w:tabs>
        <w:tab w:val="left" w:pos="1077"/>
      </w:tabs>
      <w:spacing w:line="420" w:lineRule="exact"/>
      <w:ind w:left="1077" w:right="57" w:hanging="567"/>
      <w:jc w:val="both"/>
    </w:pPr>
    <w:rPr>
      <w:rFonts w:ascii="Arial" w:hAnsi="Arial"/>
      <w:spacing w:val="24"/>
      <w:szCs w:val="24"/>
      <w:lang w:val="x-none" w:eastAsia="x-none"/>
    </w:rPr>
  </w:style>
  <w:style w:type="character" w:customStyle="1" w:styleId="af">
    <w:name w:val="純文字 字元"/>
    <w:link w:val="ae"/>
    <w:rsid w:val="00A3347B"/>
    <w:rPr>
      <w:rFonts w:ascii="Arial" w:hAnsi="Arial" w:cs="Arial"/>
      <w:spacing w:val="24"/>
      <w:kern w:val="2"/>
      <w:sz w:val="24"/>
      <w:szCs w:val="24"/>
    </w:rPr>
  </w:style>
  <w:style w:type="paragraph" w:customStyle="1" w:styleId="1">
    <w:name w:val="內控1"/>
    <w:basedOn w:val="ae"/>
    <w:rsid w:val="00A3347B"/>
    <w:pPr>
      <w:numPr>
        <w:numId w:val="1"/>
      </w:numPr>
      <w:spacing w:line="400" w:lineRule="exact"/>
    </w:pPr>
  </w:style>
  <w:style w:type="paragraph" w:styleId="af0">
    <w:name w:val="List Paragraph"/>
    <w:basedOn w:val="a"/>
    <w:uiPriority w:val="34"/>
    <w:qFormat/>
    <w:rsid w:val="000D6B17"/>
    <w:pPr>
      <w:ind w:leftChars="200" w:left="480"/>
    </w:pPr>
  </w:style>
  <w:style w:type="table" w:styleId="af1">
    <w:name w:val="Table Grid"/>
    <w:basedOn w:val="a1"/>
    <w:uiPriority w:val="59"/>
    <w:rsid w:val="00206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239</Words>
  <Characters>1367</Characters>
  <Application>Microsoft Office Word</Application>
  <DocSecurity>0</DocSecurity>
  <Lines>11</Lines>
  <Paragraphs>3</Paragraphs>
  <ScaleCrop>false</ScaleCrop>
  <Company/>
  <LinksUpToDate>false</LinksUpToDate>
  <CharactersWithSpaces>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KGI</dc:creator>
  <cp:keywords/>
  <cp:lastModifiedBy>郭忻瑩</cp:lastModifiedBy>
  <cp:revision>6</cp:revision>
  <cp:lastPrinted>2018-07-17T03:11:00Z</cp:lastPrinted>
  <dcterms:created xsi:type="dcterms:W3CDTF">2026-03-08T07:39:00Z</dcterms:created>
  <dcterms:modified xsi:type="dcterms:W3CDTF">2026-03-25T01:00:00Z</dcterms:modified>
</cp:coreProperties>
</file>